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21549209_Копия_2"/>
    <w:bookmarkStart w:id="1" w:name="_Hlk102141179_Копия_1"/>
    <w:bookmarkStart w:id="2" w:name="_Hlk102141179_Копия_2"/>
    <w:bookmarkStart w:id="3" w:name="_Toc449706538_Копия_1"/>
    <w:bookmarkStart w:id="4" w:name="_Toc455158226_Копия_1"/>
    <w:bookmarkStart w:id="5" w:name="_Hlk104979590_Копия_1"/>
    <w:bookmarkStart w:id="6" w:name="_Toc460331244_Копия_1"/>
    <w:bookmarkStart w:id="7" w:name="_Toc449693127_Копия_1"/>
    <w:bookmarkStart w:id="8" w:name="_Toc205881948_Копия_1"/>
    <w:bookmarkStart w:id="9" w:name="_Toc227060336_Копия_1"/>
    <w:bookmarkStart w:id="10" w:name="_Toc283898045_Копия_1"/>
    <w:bookmarkStart w:id="11" w:name="_Toc297545017_Копия_1"/>
    <w:bookmarkStart w:id="12" w:name="_Toc227060337_Копия_1"/>
    <w:bookmarkStart w:id="13" w:name="_Toc283898047_Копия_1"/>
    <w:bookmarkStart w:id="14" w:name="_Toc297545019_Копия_1"/>
    <w:p w:rsidR="00F12184" w:rsidRDefault="007C235B">
      <w:pPr>
        <w:pStyle w:val="Standard"/>
        <w:ind w:firstLine="709"/>
        <w:jc w:val="center"/>
        <w:rPr>
          <w:rFonts w:hint="eastAsia"/>
        </w:rPr>
      </w:pPr>
      <w:r>
        <w:object w:dxaOrig="870" w:dyaOrig="1050" w14:anchorId="005B7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i1029" type="#_x0000_t75" alt="Объект OLE" style="width:44pt;height:53pt;visibility:visible;mso-wrap-style:square" o:ole="">
            <v:imagedata r:id="rId7" o:title="Объект OLE"/>
          </v:shape>
          <o:OLEObject Type="Embed" ProgID="Unknown" ShapeID="Объект1" DrawAspect="Content" ObjectID="_1834040810" r:id="rId8"/>
        </w:object>
      </w:r>
    </w:p>
    <w:p w:rsidR="00F12184" w:rsidRPr="00AF3DDA" w:rsidRDefault="00F12184">
      <w:pPr>
        <w:pStyle w:val="Standard"/>
        <w:rPr>
          <w:rFonts w:hint="eastAsia"/>
        </w:rPr>
      </w:pPr>
    </w:p>
    <w:p w:rsidR="00F12184" w:rsidRDefault="007C235B">
      <w:pPr>
        <w:pStyle w:val="Standard"/>
        <w:rPr>
          <w:rFonts w:hint="eastAsia"/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-119880</wp:posOffset>
                </wp:positionH>
                <wp:positionV relativeFrom="paragraph">
                  <wp:posOffset>198000</wp:posOffset>
                </wp:positionV>
                <wp:extent cx="6629399" cy="360"/>
                <wp:effectExtent l="0" t="19050" r="19051" b="3774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399" cy="36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FFFF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09270" id="Прямая соединительная линия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15.6pt" to="512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Wh1AEAAF0DAAAOAAAAZHJzL2Uyb0RvYy54bWysU82O0zAQviPxDpbvNGlXqrZR0z1sVS4I&#10;KgEP4Dp2Y8l/sr1NewPOSH0EXoEDSCst8AzOGzF2ul1gbytycObP38x8M55f7ZVEO+a8MLrG41GJ&#10;EdPUNEJva/z+3erFJUY+EN0QaTSr8YF5fLV4/mze2YpNTGtkwxwCEO2rzta4DcFWReFpyxTxI2OZ&#10;Bic3TpEAqtsWjSMdoCtZTMpyWnTGNdYZyrwH63Jw4kXG55zR8IZzzwKSNYbaQj5dPjfpLBZzUm0d&#10;sa2gpzLIE6pQRGhIeoZakkDQjROPoJSgznjDw4gaVRjOBWW5B+hmXP7TzduWWJZ7AXK8PdPk/x8s&#10;fb1bOyQamB1GmigYUfzSf+iP8Uf82h9R/zH+it/jt3gbf8bb/hPId/1nkJMz3p3MRzROTHbWVwB4&#10;rdfupHm7domWPXcq/aFhtM/sH87ss31AFIzT6WR2MZthRMF3Mc2zKR6uWufDS2YUSkKNpdCJGlKR&#10;3SsfIB2E3ockszYrIWUer9SoA8TLMWAmlzdSNMmbFbfdXEuHdgQ2ZAVfeZ/4r7AEvSS+HeKya9gd&#10;Z250M6SXGqpIHAxdJ2ljmkMmI9thhrnO076lJflTz7cfXsXiNwAAAP//AwBQSwMEFAAGAAgAAAAh&#10;AGyQ+5bhAAAACgEAAA8AAABkcnMvZG93bnJldi54bWxMj8tOwzAQRfdI/IM1SOxaxwlBJcSpyktC&#10;6oY+kMrOjYckIh5HsZsGvh5nBcuZObpzbr4cTcsG7F1jSYKYR8CQSqsbqiTsdy+zBTDnFWnVWkIJ&#10;3+hgWVxe5CrT9kwbHLa+YiGEXKYk1N53GeeurNEoN7cdUrh92t4oH8a+4rpX5xBuWh5H0S03qqHw&#10;oVYdPtZYfm1PRoI9DOnN2+apdq8/ySF9+BDPq/W7lNdX4+oemMfR/8Ew6Qd1KILT0Z5IO9ZKmInF&#10;XUAlJCIGNgFRnApgx2mTAC9y/r9C8QsAAP//AwBQSwECLQAUAAYACAAAACEAtoM4kv4AAADhAQAA&#10;EwAAAAAAAAAAAAAAAAAAAAAAW0NvbnRlbnRfVHlwZXNdLnhtbFBLAQItABQABgAIAAAAIQA4/SH/&#10;1gAAAJQBAAALAAAAAAAAAAAAAAAAAC8BAABfcmVscy8ucmVsc1BLAQItABQABgAIAAAAIQAZPLWh&#10;1AEAAF0DAAAOAAAAAAAAAAAAAAAAAC4CAABkcnMvZTJvRG9jLnhtbFBLAQItABQABgAIAAAAIQBs&#10;kPuW4QAAAAoBAAAPAAAAAAAAAAAAAAAAAC4EAABkcnMvZG93bnJldi54bWxQSwUGAAAAAAQABADz&#10;AAAAPAUAAAAA&#10;" strokecolor="yellow" strokeweight="1.06mm"/>
            </w:pict>
          </mc:Fallback>
        </mc:AlternateContent>
      </w:r>
    </w:p>
    <w:p w:rsidR="00F12184" w:rsidRDefault="007C235B"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-97200</wp:posOffset>
                </wp:positionH>
                <wp:positionV relativeFrom="paragraph">
                  <wp:posOffset>48960</wp:posOffset>
                </wp:positionV>
                <wp:extent cx="6629400" cy="720"/>
                <wp:effectExtent l="0" t="19050" r="19050" b="373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228AF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3.85pt" to="514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Ar1gEAAF0DAAAOAAAAZHJzL2Uyb0RvYy54bWysU8uO0zAU3SPxD5b3NGlAZYiazmKqskFQ&#10;CeYDXMduLPkl29O0O2CN1E/gF1iANNIA3+D8EddO6fDYIbJwru/j2Ofc6/nlXkm0Y84Loxs8nZQY&#10;MU1NK/S2wddvVo8uMPKB6JZIo1mDD8zjy8XDB/Pe1qwynZEtcwhAtK972+AuBFsXhacdU8RPjGUa&#10;gtw4RQJs3bZoHekBXcmiKstZ0RvXWmco8x68yzGIFxmfc0bDK849C0g2GO4W8uryuklrsZiTeuuI&#10;7QQ9XYP8wy0UERoOPUMtSSDoxom/oJSgznjDw4QaVRjOBWWZA7CZln+wed0RyzIXEMfbs0z+/8HS&#10;l7u1Q6JtcIWRJgpaFD8Ob4dj/Bo/DUc0vIvf45f4Od7Gb/F2eA/23fAB7BSMdyf3EVVJyd76GgCv&#10;9Nqddt6uXZJlz51KfyCM9ln9w1l9tg+IgnM2q549KaFJFGJPq9yb4r7UOh+eM6NQMhoshU7SkJrs&#10;XvgAx0Hqz5Tk1mYlpMztlRr1DX58MZ2VucIbKdoUTXnebTdX0qEdSRNSruBLVADtt7QEvSS+G/Ny&#10;aJwdZ250OxZIDXVJg5F1sjamPWQxsh96mJFP85aG5Nd9rr5/FYsfAAAA//8DAFBLAwQUAAYACAAA&#10;ACEA9018vN8AAAAIAQAADwAAAGRycy9kb3ducmV2LnhtbEyPQUvDQBCF74L/YRnBi7SbRmxDzKZI&#10;QaEHhVbF6zY7JiG7szG7adN/7/Skt5l5jzffK9aTs+KIQ2g9KVjMExBIlTct1Qo+3p9nGYgQNRlt&#10;PaGCMwZYl9dXhc6NP9EOj/tYCw6hkGsFTYx9LmWoGnQ6zH2PxNq3H5yOvA61NIM+cbizMk2SpXS6&#10;Jf7Q6B43DVbdfnScMm5dl37WX9vu5W0p7ev55y7ZKHV7Mz09gog4xT8zXPAZHUpmOviRTBBWwWzx&#10;cM9WBasViIuepBlPBz5kIMtC/i9Q/gIAAP//AwBQSwECLQAUAAYACAAAACEAtoM4kv4AAADhAQAA&#10;EwAAAAAAAAAAAAAAAAAAAAAAW0NvbnRlbnRfVHlwZXNdLnhtbFBLAQItABQABgAIAAAAIQA4/SH/&#10;1gAAAJQBAAALAAAAAAAAAAAAAAAAAC8BAABfcmVscy8ucmVsc1BLAQItABQABgAIAAAAIQC4MAAr&#10;1gEAAF0DAAAOAAAAAAAAAAAAAAAAAC4CAABkcnMvZTJvRG9jLnhtbFBLAQItABQABgAIAAAAIQD3&#10;TXy83wAAAAgBAAAPAAAAAAAAAAAAAAAAADAEAABkcnMvZG93bnJldi54bWxQSwUGAAAAAAQABADz&#10;AAAAPAUAAAAA&#10;" strokecolor="aqua" strokeweight="1.06mm"/>
            </w:pict>
          </mc:Fallback>
        </mc:AlternateContent>
      </w:r>
    </w:p>
    <w:p w:rsidR="00F12184" w:rsidRDefault="007C235B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F12184" w:rsidRDefault="007C235B">
      <w:pPr>
        <w:pStyle w:val="Standard"/>
        <w:tabs>
          <w:tab w:val="left" w:pos="822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11.02.2026 г.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6"/>
          <w:szCs w:val="26"/>
        </w:rPr>
        <w:t>№ 166 -</w:t>
      </w: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>VII</w:t>
      </w:r>
    </w:p>
    <w:p w:rsidR="00F12184" w:rsidRDefault="00F12184">
      <w:pPr>
        <w:pStyle w:val="Standard"/>
        <w:tabs>
          <w:tab w:val="left" w:pos="8222"/>
        </w:tabs>
        <w:rPr>
          <w:rFonts w:ascii="Times New Roman" w:hAnsi="Times New Roman"/>
          <w:b/>
          <w:color w:val="000000"/>
          <w:sz w:val="26"/>
          <w:szCs w:val="26"/>
        </w:rPr>
      </w:pPr>
    </w:p>
    <w:p w:rsidR="00F12184" w:rsidRDefault="007C235B">
      <w:pPr>
        <w:pStyle w:val="Standard"/>
        <w:tabs>
          <w:tab w:val="left" w:pos="822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Об утверждении Генерального плана</w:t>
      </w:r>
    </w:p>
    <w:p w:rsidR="00F12184" w:rsidRDefault="007C235B">
      <w:pPr>
        <w:pStyle w:val="Standard"/>
        <w:tabs>
          <w:tab w:val="left" w:pos="822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муниципального образования сельского поселения</w:t>
      </w:r>
    </w:p>
    <w:p w:rsidR="00F12184" w:rsidRDefault="007C235B">
      <w:pPr>
        <w:pStyle w:val="Standard"/>
        <w:tabs>
          <w:tab w:val="left" w:pos="822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Куморское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эвенкийское»</w:t>
      </w:r>
    </w:p>
    <w:p w:rsidR="00F12184" w:rsidRDefault="00F12184">
      <w:pPr>
        <w:pStyle w:val="Standard"/>
        <w:tabs>
          <w:tab w:val="left" w:pos="8222"/>
        </w:tabs>
        <w:rPr>
          <w:rFonts w:ascii="Times New Roman" w:hAnsi="Times New Roman"/>
          <w:b/>
          <w:color w:val="000000"/>
          <w:sz w:val="26"/>
          <w:szCs w:val="26"/>
        </w:rPr>
      </w:pPr>
    </w:p>
    <w:p w:rsidR="00F12184" w:rsidRDefault="007C235B">
      <w:pPr>
        <w:pStyle w:val="Standard"/>
        <w:widowControl w:val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В соответствии со статьёй 24 Градостроительного кодекса Российской Федерации, Федеральным законом от 06.10.2003 № 131-ФЗ «Об общих принци</w:t>
      </w:r>
      <w:r>
        <w:rPr>
          <w:rFonts w:ascii="Times New Roman" w:hAnsi="Times New Roman"/>
          <w:color w:val="000000"/>
          <w:sz w:val="26"/>
          <w:szCs w:val="26"/>
        </w:rPr>
        <w:t xml:space="preserve">пах организации местного самоуправления в Российской Федерации», Заключением по итогам проведения публичных слушаний по вопросу рассмотрения проекта </w:t>
      </w: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>генерального плана муниципального образования сельского поселения «</w:t>
      </w:r>
      <w:proofErr w:type="spellStart"/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>Куморское</w:t>
      </w:r>
      <w:proofErr w:type="spellEnd"/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 xml:space="preserve"> эвенкийское»</w:t>
      </w:r>
      <w:r>
        <w:rPr>
          <w:rFonts w:ascii="Times New Roman" w:eastAsia="Times New Roman CYR" w:hAnsi="Times New Roman"/>
          <w:bCs/>
          <w:color w:val="000000"/>
          <w:sz w:val="26"/>
          <w:szCs w:val="26"/>
          <w:lang w:bidi="ru-RU"/>
        </w:rPr>
        <w:t xml:space="preserve"> от 30.01.2026 год</w:t>
      </w:r>
      <w:r>
        <w:rPr>
          <w:rFonts w:ascii="Times New Roman" w:eastAsia="Times New Roman CYR" w:hAnsi="Times New Roman"/>
          <w:bCs/>
          <w:color w:val="000000"/>
          <w:sz w:val="26"/>
          <w:szCs w:val="26"/>
          <w:lang w:bidi="ru-RU"/>
        </w:rPr>
        <w:t xml:space="preserve">а,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 xml:space="preserve">Совет депутатов муниципального образования «Северо-Байкальский район»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VII</w:t>
      </w:r>
      <w:r>
        <w:rPr>
          <w:rFonts w:ascii="Times New Roman" w:hAnsi="Times New Roman"/>
          <w:color w:val="000000"/>
          <w:sz w:val="26"/>
          <w:szCs w:val="26"/>
        </w:rPr>
        <w:t xml:space="preserve"> созыва </w:t>
      </w:r>
      <w:r>
        <w:rPr>
          <w:rFonts w:ascii="Times New Roman" w:eastAsia="Times New Roman CYR" w:hAnsi="Times New Roman"/>
          <w:b/>
          <w:color w:val="000000"/>
          <w:sz w:val="26"/>
          <w:szCs w:val="26"/>
          <w:lang w:bidi="ru-RU"/>
        </w:rPr>
        <w:t xml:space="preserve">решил:  </w:t>
      </w:r>
    </w:p>
    <w:p w:rsidR="00F12184" w:rsidRDefault="007C235B">
      <w:pPr>
        <w:pStyle w:val="a5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>Утвердить генеральный план муниципального образования сельского поселения «</w:t>
      </w:r>
      <w:proofErr w:type="spellStart"/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>Куморское</w:t>
      </w:r>
      <w:proofErr w:type="spellEnd"/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 xml:space="preserve"> эвенкийское» согласно приложению.</w:t>
      </w:r>
    </w:p>
    <w:p w:rsidR="00F12184" w:rsidRDefault="007C235B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Признать утратившим силу Генеральный план м</w:t>
      </w:r>
      <w:r>
        <w:rPr>
          <w:rFonts w:ascii="Times New Roman" w:hAnsi="Times New Roman"/>
          <w:color w:val="000000"/>
          <w:sz w:val="26"/>
          <w:szCs w:val="26"/>
        </w:rPr>
        <w:t xml:space="preserve">униципального образования </w:t>
      </w: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>сельского поселения «</w:t>
      </w:r>
      <w:proofErr w:type="spellStart"/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>Куморское</w:t>
      </w:r>
      <w:proofErr w:type="spellEnd"/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 xml:space="preserve"> эвенкийское»</w:t>
      </w:r>
      <w:r>
        <w:rPr>
          <w:rFonts w:ascii="Times New Roman" w:hAnsi="Times New Roman"/>
          <w:color w:val="000000"/>
          <w:sz w:val="26"/>
          <w:szCs w:val="26"/>
        </w:rPr>
        <w:t xml:space="preserve">, утвержденный решением Совета депутатов муниципального образования «Северо-Байкальский район» от </w:t>
      </w:r>
      <w:r>
        <w:rPr>
          <w:rFonts w:ascii="Times New Roman" w:eastAsia="Times New Roman CYR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28.11.2019 № 36-VI.</w:t>
      </w:r>
    </w:p>
    <w:p w:rsidR="00F12184" w:rsidRDefault="007C235B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Настоящее решение вступает в силу после официального обнародования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в средствах массовой информации.</w:t>
      </w:r>
    </w:p>
    <w:p w:rsidR="00F12184" w:rsidRDefault="00F12184">
      <w:pPr>
        <w:pStyle w:val="Standard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12184" w:rsidRDefault="00F12184">
      <w:pPr>
        <w:pStyle w:val="Standard"/>
        <w:rPr>
          <w:rFonts w:hint="eastAsia"/>
          <w:b/>
          <w:sz w:val="26"/>
          <w:szCs w:val="26"/>
        </w:rPr>
      </w:pPr>
    </w:p>
    <w:p w:rsidR="00F12184" w:rsidRDefault="007C235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Председатель Совета депутатов</w:t>
      </w:r>
    </w:p>
    <w:p w:rsidR="00F12184" w:rsidRDefault="007C235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               </w:t>
      </w:r>
    </w:p>
    <w:p w:rsidR="00F12184" w:rsidRDefault="007C235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 xml:space="preserve">«Северо-Байкальский 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район»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Н.Н. Малахова</w:t>
      </w:r>
    </w:p>
    <w:p w:rsidR="00F12184" w:rsidRDefault="00F12184">
      <w:pPr>
        <w:pStyle w:val="Standard"/>
        <w:rPr>
          <w:rFonts w:ascii="Times New Roman" w:hAnsi="Times New Roman"/>
          <w:b/>
          <w:sz w:val="26"/>
          <w:szCs w:val="26"/>
        </w:rPr>
      </w:pPr>
    </w:p>
    <w:p w:rsidR="00F12184" w:rsidRDefault="007C235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 xml:space="preserve">Глава муниципального образования                                                                 </w:t>
      </w:r>
    </w:p>
    <w:p w:rsidR="00F12184" w:rsidRDefault="007C235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 xml:space="preserve">«Северо-Байкальский 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район»   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И.В. </w:t>
      </w:r>
      <w:proofErr w:type="spellStart"/>
      <w:r>
        <w:rPr>
          <w:rFonts w:ascii="Times New Roman" w:hAnsi="Times New Roman"/>
          <w:b/>
          <w:sz w:val="26"/>
          <w:szCs w:val="26"/>
        </w:rPr>
        <w:t>Пухарев</w:t>
      </w:r>
      <w:proofErr w:type="spellEnd"/>
    </w:p>
    <w:p w:rsidR="00F12184" w:rsidRDefault="00F12184">
      <w:pPr>
        <w:pStyle w:val="Standard"/>
        <w:rPr>
          <w:rFonts w:ascii="Times New Roman" w:hAnsi="Times New Roman"/>
          <w:b/>
          <w:sz w:val="26"/>
          <w:szCs w:val="26"/>
        </w:rPr>
      </w:pPr>
    </w:p>
    <w:p w:rsidR="00F12184" w:rsidRDefault="00F12184">
      <w:pPr>
        <w:pStyle w:val="Standard"/>
        <w:rPr>
          <w:rFonts w:ascii="Times New Roman" w:hAnsi="Times New Roman"/>
          <w:b/>
          <w:sz w:val="26"/>
          <w:szCs w:val="26"/>
        </w:rPr>
      </w:pPr>
    </w:p>
    <w:p w:rsidR="00F12184" w:rsidRDefault="007C235B">
      <w:pPr>
        <w:pStyle w:val="Standard"/>
        <w:rPr>
          <w:rFonts w:hint="eastAsia"/>
        </w:rPr>
      </w:pPr>
      <w:r>
        <w:rPr>
          <w:sz w:val="20"/>
        </w:rPr>
        <w:t>_________________________</w:t>
      </w:r>
    </w:p>
    <w:p w:rsidR="00F12184" w:rsidRDefault="007C235B">
      <w:pPr>
        <w:pStyle w:val="Standard"/>
        <w:rPr>
          <w:rFonts w:hint="eastAsia"/>
        </w:rPr>
      </w:pPr>
      <w:r>
        <w:rPr>
          <w:sz w:val="20"/>
        </w:rPr>
        <w:t>Проект подготовлен отделом ГЗИЖ МКУ КУМХ</w:t>
      </w:r>
    </w:p>
    <w:p w:rsidR="00F12184" w:rsidRDefault="007C235B">
      <w:pPr>
        <w:pStyle w:val="Standard"/>
        <w:rPr>
          <w:rFonts w:hint="eastAsia"/>
        </w:rPr>
      </w:pPr>
      <w:r>
        <w:rPr>
          <w:sz w:val="20"/>
        </w:rPr>
        <w:t xml:space="preserve">исп. Федосеева Е.Ю., </w:t>
      </w:r>
      <w:r>
        <w:rPr>
          <w:rFonts w:ascii="Wingdings" w:hAnsi="Wingdings"/>
          <w:sz w:val="20"/>
        </w:rPr>
        <w:t></w:t>
      </w:r>
      <w:r>
        <w:rPr>
          <w:sz w:val="20"/>
        </w:rPr>
        <w:t>47124</w:t>
      </w:r>
    </w:p>
    <w:p w:rsidR="00F12184" w:rsidRDefault="00F12184">
      <w:pPr>
        <w:pStyle w:val="Standard"/>
        <w:rPr>
          <w:rFonts w:hint="eastAsia"/>
        </w:rPr>
      </w:pPr>
    </w:p>
    <w:p w:rsidR="00F12184" w:rsidRDefault="00F12184">
      <w:pPr>
        <w:pStyle w:val="Standard"/>
        <w:rPr>
          <w:rFonts w:hint="eastAsia"/>
        </w:rPr>
      </w:pPr>
    </w:p>
    <w:p w:rsidR="00F12184" w:rsidRDefault="00F12184">
      <w:pPr>
        <w:pStyle w:val="Standard"/>
        <w:rPr>
          <w:rFonts w:hint="eastAsia"/>
        </w:rPr>
      </w:pPr>
    </w:p>
    <w:p w:rsidR="00F12184" w:rsidRDefault="00F12184">
      <w:pPr>
        <w:pStyle w:val="Standard"/>
        <w:rPr>
          <w:rFonts w:hint="eastAsia"/>
        </w:rPr>
      </w:pPr>
    </w:p>
    <w:p w:rsidR="00F12184" w:rsidRDefault="007C235B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  <w:sz w:val="18"/>
          <w:szCs w:val="18"/>
        </w:rPr>
        <w:t>риложение к Решению Совета депутатов</w:t>
      </w:r>
    </w:p>
    <w:p w:rsidR="00F12184" w:rsidRDefault="007C235B">
      <w:pPr>
        <w:pStyle w:val="Standard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муниципального образования «Северо-Байкальский район»</w:t>
      </w:r>
    </w:p>
    <w:p w:rsidR="00F12184" w:rsidRDefault="007C235B">
      <w:pPr>
        <w:pStyle w:val="Standard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11.02.2026 № 166-</w:t>
      </w:r>
      <w:r>
        <w:rPr>
          <w:rFonts w:ascii="Times New Roman" w:hAnsi="Times New Roman"/>
          <w:sz w:val="18"/>
          <w:szCs w:val="18"/>
          <w:lang w:val="en-US"/>
        </w:rPr>
        <w:t>VII</w:t>
      </w:r>
    </w:p>
    <w:p w:rsidR="00F12184" w:rsidRDefault="00F12184">
      <w:pPr>
        <w:pStyle w:val="Standard"/>
        <w:jc w:val="right"/>
        <w:rPr>
          <w:rFonts w:ascii="Times New Roman" w:hAnsi="Times New Roman"/>
          <w:sz w:val="18"/>
          <w:szCs w:val="18"/>
        </w:rPr>
      </w:pPr>
    </w:p>
    <w:tbl>
      <w:tblPr>
        <w:tblW w:w="104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2"/>
      </w:tblGrid>
      <w:tr w:rsidR="00F12184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10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S"/>
              <w:tabs>
                <w:tab w:val="left" w:pos="3790"/>
                <w:tab w:val="center" w:pos="4961"/>
                <w:tab w:val="left" w:pos="8259"/>
              </w:tabs>
              <w:ind w:left="0" w:right="169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caps w:val="0"/>
              </w:rPr>
              <w:t>Администрация муниципального образования сельское поселение</w:t>
            </w:r>
          </w:p>
          <w:p w:rsidR="00F12184" w:rsidRDefault="007C235B">
            <w:pPr>
              <w:pStyle w:val="S"/>
              <w:tabs>
                <w:tab w:val="left" w:pos="3790"/>
                <w:tab w:val="center" w:pos="4961"/>
                <w:tab w:val="left" w:pos="8259"/>
              </w:tabs>
              <w:ind w:left="0" w:right="169"/>
              <w:jc w:val="center"/>
              <w:rPr>
                <w:rFonts w:ascii="Times New Roman" w:eastAsia="Calibri" w:hAnsi="Times New Roman"/>
                <w:caps w:val="0"/>
              </w:rPr>
            </w:pPr>
            <w:r>
              <w:rPr>
                <w:rFonts w:ascii="Times New Roman" w:eastAsia="Calibri" w:hAnsi="Times New Roman"/>
                <w:caps w:val="0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caps w:val="0"/>
              </w:rPr>
              <w:t>Куморское</w:t>
            </w:r>
            <w:proofErr w:type="spellEnd"/>
            <w:r>
              <w:rPr>
                <w:rFonts w:ascii="Times New Roman" w:eastAsia="Calibri" w:hAnsi="Times New Roman"/>
                <w:caps w:val="0"/>
              </w:rPr>
              <w:t xml:space="preserve"> эвенкийское» Северо-Байкальского района Республики Бурятия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993"/>
          <w:jc w:val="center"/>
        </w:trPr>
        <w:tc>
          <w:tcPr>
            <w:tcW w:w="10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F12184">
            <w:pPr>
              <w:pStyle w:val="Standard"/>
              <w:rPr>
                <w:rFonts w:ascii="Times New Roman" w:eastAsia="Calibri" w:hAnsi="Times New Roman"/>
                <w:b/>
              </w:rPr>
            </w:pP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S"/>
              <w:tabs>
                <w:tab w:val="left" w:pos="3790"/>
                <w:tab w:val="center" w:pos="4961"/>
              </w:tabs>
              <w:ind w:left="0" w:right="1662" w:firstLine="1723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spacing w:val="20"/>
                <w:w w:val="90"/>
                <w:sz w:val="32"/>
                <w:szCs w:val="32"/>
              </w:rPr>
              <w:t>ГЕНЕРАЛЬНый ПЛАН</w:t>
            </w:r>
          </w:p>
          <w:p w:rsidR="00F12184" w:rsidRDefault="007C235B">
            <w:pPr>
              <w:pStyle w:val="S"/>
              <w:tabs>
                <w:tab w:val="left" w:pos="3790"/>
                <w:tab w:val="center" w:pos="4961"/>
              </w:tabs>
              <w:ind w:left="0" w:right="1662" w:firstLine="1723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spacing w:val="20"/>
                <w:w w:val="90"/>
                <w:sz w:val="32"/>
                <w:szCs w:val="32"/>
              </w:rPr>
              <w:t>сельского поселения</w:t>
            </w:r>
          </w:p>
          <w:p w:rsidR="00F12184" w:rsidRDefault="007C235B">
            <w:pPr>
              <w:pStyle w:val="S"/>
              <w:tabs>
                <w:tab w:val="left" w:pos="3790"/>
                <w:tab w:val="center" w:pos="4961"/>
              </w:tabs>
              <w:ind w:left="0" w:right="1662" w:firstLine="1723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spacing w:val="20"/>
                <w:w w:val="90"/>
                <w:sz w:val="36"/>
                <w:szCs w:val="36"/>
              </w:rPr>
              <w:t>«Куморское эвенкийское»</w:t>
            </w:r>
          </w:p>
          <w:p w:rsidR="00F12184" w:rsidRDefault="007C235B">
            <w:pPr>
              <w:pStyle w:val="S"/>
              <w:tabs>
                <w:tab w:val="left" w:pos="3790"/>
                <w:tab w:val="center" w:pos="4961"/>
              </w:tabs>
              <w:ind w:left="0" w:right="1662" w:firstLine="1723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spacing w:val="20"/>
                <w:w w:val="90"/>
                <w:sz w:val="32"/>
                <w:szCs w:val="32"/>
              </w:rPr>
              <w:t>Северо-байкальского района</w:t>
            </w:r>
          </w:p>
          <w:p w:rsidR="00F12184" w:rsidRDefault="007C235B">
            <w:pPr>
              <w:pStyle w:val="S"/>
              <w:tabs>
                <w:tab w:val="left" w:pos="3790"/>
                <w:tab w:val="center" w:pos="4961"/>
              </w:tabs>
              <w:ind w:left="0" w:right="1662" w:firstLine="1723"/>
              <w:jc w:val="center"/>
              <w:rPr>
                <w:rFonts w:ascii="Times New Roman" w:eastAsia="Calibri" w:hAnsi="Times New Roman"/>
                <w:spacing w:val="20"/>
                <w:w w:val="9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pacing w:val="20"/>
                <w:w w:val="90"/>
                <w:sz w:val="32"/>
                <w:szCs w:val="32"/>
              </w:rPr>
              <w:t>Республики Бурятия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6647"/>
          <w:jc w:val="center"/>
        </w:trPr>
        <w:tc>
          <w:tcPr>
            <w:tcW w:w="10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F12184">
            <w:pPr>
              <w:pStyle w:val="Standard"/>
              <w:rPr>
                <w:rFonts w:ascii="Times New Roman" w:eastAsia="Calibri" w:hAnsi="Times New Roman"/>
                <w:caps/>
                <w:spacing w:val="40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caps/>
                <w:spacing w:val="40"/>
                <w:sz w:val="20"/>
                <w:szCs w:val="20"/>
              </w:rPr>
            </w:pPr>
          </w:p>
          <w:p w:rsidR="00F12184" w:rsidRDefault="007C235B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caps/>
                <w:spacing w:val="40"/>
              </w:rPr>
              <w:t>положение о территориальном планировании</w:t>
            </w: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12184" w:rsidRDefault="00F12184">
            <w:pPr>
              <w:pStyle w:val="Standard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Standard"/>
              <w:tabs>
                <w:tab w:val="left" w:pos="9531"/>
              </w:tabs>
              <w:ind w:right="15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                                                           2025 год</w:t>
            </w:r>
          </w:p>
        </w:tc>
      </w:tr>
    </w:tbl>
    <w:p w:rsidR="00F12184" w:rsidRDefault="007C235B">
      <w:pPr>
        <w:pStyle w:val="01"/>
        <w:pageBreakBefore/>
      </w:pPr>
      <w:r>
        <w:lastRenderedPageBreak/>
        <w:t>СОДЕРЖАНИЕ</w:t>
      </w:r>
    </w:p>
    <w:p w:rsidR="00F12184" w:rsidRDefault="007C235B">
      <w:pPr>
        <w:pStyle w:val="Contents1"/>
        <w:tabs>
          <w:tab w:val="clear" w:pos="9638"/>
          <w:tab w:val="left" w:pos="480"/>
          <w:tab w:val="right" w:leader="dot" w:pos="10206"/>
        </w:tabs>
        <w:rPr>
          <w:rFonts w:hint="eastAsia"/>
        </w:rPr>
      </w:pPr>
      <w:r>
        <w:rPr>
          <w:rFonts w:ascii="Times New Roman" w:hAnsi="Times New Roman"/>
        </w:rPr>
        <w:t>Глава 1. ОБЩИЕ ПОЛОЖЕНИЯ</w:t>
      </w:r>
      <w:r>
        <w:rPr>
          <w:rFonts w:ascii="Times New Roman" w:hAnsi="Times New Roman"/>
        </w:rPr>
        <w:tab/>
        <w:t>3</w:t>
      </w:r>
    </w:p>
    <w:p w:rsidR="00F12184" w:rsidRDefault="007C235B">
      <w:pPr>
        <w:pStyle w:val="Contents1"/>
        <w:tabs>
          <w:tab w:val="clear" w:pos="9638"/>
          <w:tab w:val="left" w:pos="480"/>
          <w:tab w:val="right" w:leader="dot" w:pos="10206"/>
        </w:tabs>
        <w:rPr>
          <w:rFonts w:hint="eastAsia"/>
        </w:rPr>
      </w:pPr>
      <w:r>
        <w:rPr>
          <w:rFonts w:ascii="Times New Roman" w:hAnsi="Times New Roman"/>
        </w:rPr>
        <w:t xml:space="preserve">Глава 2. СВЕДЕНИЯ О ВИДАХ, НАЗНАЧЕНИИ И НАИМЕНОВАНИЯХ </w:t>
      </w:r>
      <w:r>
        <w:rPr>
          <w:rFonts w:ascii="Times New Roman" w:hAnsi="Times New Roman"/>
        </w:rPr>
        <w:t>ПЛАНИРУЕМЫХ ДЛЯ РАЗМЕЩЕНИЯ ОБЪЕКТОВ МЕСТНОГО ЗНАЧЕНИЯ ПОСЕЛЕНИЯ, ИХ ОСНОВНЫЕ ХАРАКТЕРИСТИКИ, ИХ МЕСТОПОЛОЖЕНИЕ</w:t>
      </w:r>
      <w:r>
        <w:rPr>
          <w:rFonts w:ascii="Times New Roman" w:hAnsi="Times New Roman"/>
        </w:rPr>
        <w:tab/>
        <w:t>4</w:t>
      </w:r>
    </w:p>
    <w:p w:rsidR="00F12184" w:rsidRDefault="007C235B">
      <w:pPr>
        <w:pStyle w:val="Contents1"/>
        <w:tabs>
          <w:tab w:val="clear" w:pos="9638"/>
          <w:tab w:val="left" w:pos="480"/>
          <w:tab w:val="right" w:leader="dot" w:pos="10206"/>
        </w:tabs>
        <w:rPr>
          <w:rFonts w:hint="eastAsia"/>
        </w:rPr>
      </w:pPr>
      <w:r>
        <w:rPr>
          <w:rFonts w:ascii="Times New Roman" w:hAnsi="Times New Roman"/>
        </w:rPr>
        <w:t>Глава 3. Параметры функциональных зон, а также сведения о планируемых для размещения в них объектах федерального значения, объектах регионально</w:t>
      </w:r>
      <w:r>
        <w:rPr>
          <w:rFonts w:ascii="Times New Roman" w:hAnsi="Times New Roman"/>
        </w:rPr>
        <w:t>го значения, объектах местного значения, за исключением линейных объектов</w:t>
      </w:r>
      <w:r>
        <w:rPr>
          <w:rFonts w:ascii="Times New Roman" w:hAnsi="Times New Roman"/>
        </w:rPr>
        <w:tab/>
        <w:t>7</w:t>
      </w:r>
    </w:p>
    <w:p w:rsidR="00F12184" w:rsidRDefault="007C235B">
      <w:pPr>
        <w:pStyle w:val="Contents1"/>
        <w:tabs>
          <w:tab w:val="clear" w:pos="9638"/>
          <w:tab w:val="left" w:pos="480"/>
          <w:tab w:val="right" w:leader="dot" w:pos="10206"/>
        </w:tabs>
        <w:rPr>
          <w:rFonts w:hint="eastAsia"/>
        </w:rPr>
      </w:pPr>
      <w:r>
        <w:rPr>
          <w:rFonts w:ascii="Times New Roman" w:hAnsi="Times New Roman"/>
        </w:rPr>
        <w:t>Глава 4. ХАРАКТЕРИСТИКИ ЗОН С ОСОБЫМИ УСЛОВИЯМИ ИСПОЛЬЗОВАНИЯ ТЕРРИТОРИЙ</w:t>
      </w:r>
      <w:r>
        <w:rPr>
          <w:rFonts w:ascii="Times New Roman" w:hAnsi="Times New Roman"/>
        </w:rPr>
        <w:tab/>
        <w:t>9</w:t>
      </w:r>
    </w:p>
    <w:p w:rsidR="00F12184" w:rsidRDefault="00F12184">
      <w:pPr>
        <w:pStyle w:val="Standard"/>
        <w:rPr>
          <w:rFonts w:ascii="Times New Roman" w:hAnsi="Times New Roman"/>
        </w:rPr>
      </w:pPr>
    </w:p>
    <w:p w:rsidR="00F12184" w:rsidRDefault="00F12184">
      <w:pPr>
        <w:pStyle w:val="Standard"/>
        <w:rPr>
          <w:rFonts w:ascii="Times New Roman" w:hAnsi="Times New Roman"/>
        </w:rPr>
      </w:pPr>
    </w:p>
    <w:p w:rsidR="00F12184" w:rsidRDefault="007C235B">
      <w:pPr>
        <w:pStyle w:val="1"/>
        <w:pageBreakBefore/>
        <w:tabs>
          <w:tab w:val="left" w:pos="1560"/>
        </w:tabs>
        <w:ind w:left="709"/>
        <w:jc w:val="both"/>
        <w:rPr>
          <w:rFonts w:hint="eastAsia"/>
        </w:rPr>
      </w:pPr>
      <w:bookmarkStart w:id="15" w:name="_Toc421549209_Копия_1"/>
      <w:r>
        <w:rPr>
          <w:rFonts w:ascii="Times New Roman" w:hAnsi="Times New Roman"/>
          <w:lang w:eastAsia="ru-RU"/>
        </w:rPr>
        <w:lastRenderedPageBreak/>
        <w:t>Глава 1. ОБЩИЕ ПОЛОЖЕНИЯ</w:t>
      </w:r>
    </w:p>
    <w:p w:rsidR="00F12184" w:rsidRDefault="007C235B">
      <w:pPr>
        <w:pStyle w:val="a6"/>
        <w:numPr>
          <w:ilvl w:val="0"/>
          <w:numId w:val="5"/>
        </w:numPr>
        <w:spacing w:before="0" w:after="0"/>
        <w:ind w:left="0" w:firstLine="709"/>
      </w:pPr>
      <w:r>
        <w:t>Генеральный план сельского поселения «</w:t>
      </w:r>
      <w:proofErr w:type="spellStart"/>
      <w:r>
        <w:t>Куморское</w:t>
      </w:r>
      <w:proofErr w:type="spellEnd"/>
      <w:r>
        <w:t xml:space="preserve"> эвенкийское» </w:t>
      </w:r>
      <w:r>
        <w:t>Северо-Байкальского района республики Бурятия подготовлен ООО «</w:t>
      </w:r>
      <w:proofErr w:type="spellStart"/>
      <w:r>
        <w:t>НижНовСтройПроект</w:t>
      </w:r>
      <w:proofErr w:type="spellEnd"/>
      <w:r>
        <w:t xml:space="preserve">» по заказу </w:t>
      </w:r>
      <w:r>
        <w:rPr>
          <w:color w:val="000000"/>
        </w:rPr>
        <w:t xml:space="preserve">Муниципального казенного учреждения «Комитет по управлению муниципальным хозяйством». </w:t>
      </w:r>
      <w:r>
        <w:t>Основание для подготовки генерального плана – Постановление Администрации муни</w:t>
      </w:r>
      <w:r>
        <w:t>ципального образования «Северо-Байкальский район» Республики Бурятия от 02.07.2025 № 151 «О подготовке предложений о внесении изменений в генеральный план МО СП «</w:t>
      </w:r>
      <w:proofErr w:type="spellStart"/>
      <w:r>
        <w:t>Куморское</w:t>
      </w:r>
      <w:proofErr w:type="spellEnd"/>
      <w:r>
        <w:t xml:space="preserve"> эвенкийское».</w:t>
      </w:r>
    </w:p>
    <w:p w:rsidR="00F12184" w:rsidRDefault="007C235B">
      <w:pPr>
        <w:pStyle w:val="a6"/>
        <w:numPr>
          <w:ilvl w:val="0"/>
          <w:numId w:val="3"/>
        </w:numPr>
        <w:spacing w:before="0" w:after="0"/>
        <w:ind w:left="0" w:firstLine="709"/>
      </w:pPr>
      <w:r>
        <w:rPr>
          <w:iCs/>
        </w:rPr>
        <w:t>Расчетный период реализации генерального плана принят 2045 год.</w:t>
      </w:r>
    </w:p>
    <w:p w:rsidR="00F12184" w:rsidRDefault="007C235B">
      <w:pPr>
        <w:pStyle w:val="a6"/>
        <w:numPr>
          <w:ilvl w:val="0"/>
          <w:numId w:val="3"/>
        </w:numPr>
        <w:tabs>
          <w:tab w:val="left" w:pos="993"/>
        </w:tabs>
        <w:spacing w:before="0" w:after="0"/>
        <w:ind w:left="0" w:firstLine="709"/>
      </w:pPr>
      <w:r>
        <w:t>Прогно</w:t>
      </w:r>
      <w:r>
        <w:t>зная численность постоянного населения, принятая для расчета основных градостроительных параметров развития территории, составит на конец расчетного срока 655 человек.</w:t>
      </w:r>
    </w:p>
    <w:p w:rsidR="00F12184" w:rsidRDefault="007C235B">
      <w:pPr>
        <w:pStyle w:val="a6"/>
        <w:numPr>
          <w:ilvl w:val="0"/>
          <w:numId w:val="3"/>
        </w:numPr>
        <w:tabs>
          <w:tab w:val="left" w:pos="993"/>
        </w:tabs>
        <w:spacing w:before="0" w:after="0"/>
        <w:ind w:left="0" w:firstLine="709"/>
      </w:pPr>
      <w:r>
        <w:t xml:space="preserve">Карты в составе генерального плана муниципального образования </w:t>
      </w:r>
      <w:r>
        <w:rPr>
          <w:bCs/>
        </w:rPr>
        <w:t>сельского поселения «</w:t>
      </w:r>
      <w:proofErr w:type="spellStart"/>
      <w:r>
        <w:rPr>
          <w:bCs/>
        </w:rPr>
        <w:t>Кумор</w:t>
      </w:r>
      <w:r>
        <w:rPr>
          <w:bCs/>
        </w:rPr>
        <w:t>ское</w:t>
      </w:r>
      <w:proofErr w:type="spellEnd"/>
      <w:r>
        <w:rPr>
          <w:bCs/>
        </w:rPr>
        <w:t xml:space="preserve"> эвенкийское» Северо-Байкальского района Республики Бурятия</w:t>
      </w:r>
      <w:r>
        <w:t xml:space="preserve"> выполнены в масштабе 1: 5 000 и 1:25 000 с использованием компьютерных геоинформационных технологий на территорию всего муниципального образования.</w:t>
      </w:r>
    </w:p>
    <w:p w:rsidR="00F12184" w:rsidRDefault="00F12184">
      <w:pPr>
        <w:pStyle w:val="a6"/>
        <w:spacing w:before="0" w:after="0"/>
        <w:ind w:firstLine="0"/>
        <w:sectPr w:rsidR="00F12184">
          <w:pgSz w:w="11906" w:h="16838"/>
          <w:pgMar w:top="1134" w:right="572" w:bottom="1134" w:left="1134" w:header="720" w:footer="720" w:gutter="0"/>
          <w:cols w:space="720"/>
          <w:titlePg/>
        </w:sectPr>
      </w:pPr>
    </w:p>
    <w:p w:rsidR="00F12184" w:rsidRDefault="007C235B">
      <w:pPr>
        <w:pStyle w:val="1"/>
        <w:tabs>
          <w:tab w:val="left" w:pos="1560"/>
        </w:tabs>
        <w:ind w:left="709"/>
        <w:jc w:val="both"/>
        <w:rPr>
          <w:rFonts w:hint="eastAsia"/>
        </w:rPr>
      </w:pPr>
      <w:bookmarkStart w:id="16" w:name="_Toc19109973"/>
      <w:r>
        <w:rPr>
          <w:rFonts w:ascii="Times New Roman" w:hAnsi="Times New Roman"/>
          <w:lang w:eastAsia="ru-RU"/>
        </w:rPr>
        <w:lastRenderedPageBreak/>
        <w:t>Глава 2. СВЕДЕНИЯ О ВИДАХ, НАЗНАЧЕНИИ И НАИ</w:t>
      </w:r>
      <w:r>
        <w:rPr>
          <w:rFonts w:ascii="Times New Roman" w:hAnsi="Times New Roman"/>
          <w:lang w:eastAsia="ru-RU"/>
        </w:rPr>
        <w:t>МЕНОВАНИЯХ ПЛАНИРУЕМЫХ ДЛЯ РАЗМЕЩЕНИЯ ОБЪЕКТОВ МЕСТНОГО ЗНАЧЕНИЯ ПОСЕЛЕНИЯ, ИХ ОСНОВНЫЕ ХАРАКТЕРИСТИКИ, ИХ МЕСТОПОЛОЖЕНИЕ</w:t>
      </w:r>
    </w:p>
    <w:tbl>
      <w:tblPr>
        <w:tblW w:w="1535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211"/>
        <w:gridCol w:w="2447"/>
        <w:gridCol w:w="2287"/>
        <w:gridCol w:w="1453"/>
        <w:gridCol w:w="2036"/>
        <w:gridCol w:w="2112"/>
        <w:gridCol w:w="2273"/>
      </w:tblGrid>
      <w:tr w:rsidR="00F121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Назначение объекта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 объекта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Местоположение объекта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(адрес, функциональная зона)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r>
              <w:rPr>
                <w:b/>
                <w:sz w:val="22"/>
                <w:szCs w:val="22"/>
              </w:rPr>
              <w:t>зоны с особыми условиями использования территорий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Количественный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Объекты водоснабжения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водоснабжения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надежного водоснабжения населения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(реконструкция)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Кумора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Охранная зона,</w:t>
            </w:r>
            <w:r>
              <w:rPr>
                <w:sz w:val="22"/>
                <w:szCs w:val="22"/>
              </w:rPr>
              <w:t xml:space="preserve"> не менее 2 м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водоснабжения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надежного водоснабжения населения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Кумора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Охранная зона, не менее 2 м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водоснабжения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надежного водоснабжения населения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color w:val="000000"/>
                <w:sz w:val="22"/>
                <w:szCs w:val="22"/>
              </w:rPr>
              <w:t>Артезианская скважина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реконструкция)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объект/мощность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/ 50м.куб/час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Кумора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зона инженерной инфраструктуры)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1-ый пояс ЗСО 30-50 метров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Объекты теплоснабжения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теплоснабжения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надежного теплоснабжения населения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Тепловые сети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(реконструкция)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Кумора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Охранная зона, не менее 3 м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теплоснабжения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надежного теплоснабжения населения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(реконструкция)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объект/мощность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1/0,688 Гкал/час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Кумора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Охранная зона, не менее 3 м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Автомобильные дороги местного значения, объекты </w:t>
            </w:r>
            <w:r>
              <w:rPr>
                <w:b/>
                <w:sz w:val="22"/>
                <w:szCs w:val="22"/>
              </w:rPr>
              <w:t>транспортной инфраструктуры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Улично-дорожная сеть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Транспортные и пешеходные связи внутри жилых территорий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Улицы в жилой застройке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км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Кумора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Не устанавливаются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Автомобильные дороги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Транспортные связи внутри муниципального 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Автомобильные дороги местного значения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Км / категория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0,5 /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2"/>
                <w:szCs w:val="22"/>
              </w:rPr>
              <w:t>категория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11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Не устанавливается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Объекты физической культуры и массового спорта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Спортивное сооружение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Физкультурно-спортивное назначение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rStyle w:val="ab"/>
                <w:sz w:val="22"/>
                <w:szCs w:val="22"/>
              </w:rPr>
              <w:t>Спортивная площадка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  <w:vertAlign w:val="superscript"/>
              </w:rPr>
              <w:t xml:space="preserve">2 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proofErr w:type="gramEnd"/>
            <w:r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/ 20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Кумора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(общественно-деловая зона)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rStyle w:val="aa"/>
                <w:rFonts w:eastAsia="Symbol"/>
                <w:bCs/>
                <w:sz w:val="22"/>
                <w:szCs w:val="22"/>
              </w:rPr>
              <w:t>Не устанавливаются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Объекты образования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общего образования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развитие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7"/>
              <w:shd w:val="clear" w:color="auto" w:fill="auto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Верхнеангарская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(реконструкция)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7"/>
              <w:widowControl/>
              <w:shd w:val="clear" w:color="auto" w:fill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объект/ мест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/ 320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Кумора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(общественно-деловая зона)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устанавливаются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Объекты отдыха и туризма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туризма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Туризм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5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Туристический комплекс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Верхне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Ангарский острог»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5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объект/ мест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/ 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Кумора</w:t>
            </w:r>
            <w:proofErr w:type="spellEnd"/>
            <w:r>
              <w:rPr>
                <w:sz w:val="22"/>
                <w:szCs w:val="22"/>
              </w:rPr>
              <w:t xml:space="preserve"> (зона рекреационного назначения)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устанавливаются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Объекты туризма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Туризм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5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</w:rPr>
              <w:t>остевой дом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объект/ мест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/ 20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Кумора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(зона рекреационного назначения)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устанавливаются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Объекты специального назначения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специального назначения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widowControl w:val="0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Захоронение биологических отходов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5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Скотомогильник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сибироязвенный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(ликвидация)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5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объект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 (производственная зона сельскохозяйственных предприятий)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Санитарно-защитная зона – по проекту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Объекты специального назначения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Санитарная очистка территории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5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Площадка сбора ТКО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п.Кумора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(рекультивация после 2026 года)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объект/площадь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1,06 га, объем -1016/254 м3/т.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 участок 03:17:200202:31</w:t>
            </w:r>
          </w:p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(зона складирования и размещения отходов)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Санитарно-защитная зона – по проекту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Объекты специального назначения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Санитарная очистка территории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5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Площадка сбора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ТКО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п.Кумора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(строительство)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объект/площадь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1,73 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 участок 03:17:200202:172</w:t>
            </w:r>
          </w:p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(зона складирования и размещения отходов)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Санитарно-защитная зона – по проекту</w:t>
            </w:r>
          </w:p>
        </w:tc>
      </w:tr>
    </w:tbl>
    <w:p w:rsidR="00F12184" w:rsidRDefault="007C235B">
      <w:pPr>
        <w:pStyle w:val="1"/>
        <w:pageBreakBefore/>
        <w:tabs>
          <w:tab w:val="left" w:pos="1560"/>
        </w:tabs>
        <w:ind w:left="709"/>
        <w:jc w:val="both"/>
        <w:rPr>
          <w:rFonts w:hint="eastAsia"/>
        </w:rPr>
      </w:pPr>
      <w:bookmarkStart w:id="17" w:name="_Toc19109974"/>
      <w:bookmarkStart w:id="18" w:name="_Toc460331246"/>
      <w:r>
        <w:rPr>
          <w:rFonts w:ascii="Times New Roman" w:hAnsi="Times New Roman"/>
          <w:lang w:eastAsia="ru-RU"/>
        </w:rPr>
        <w:lastRenderedPageBreak/>
        <w:t xml:space="preserve">Глава 3. Параметры функциональных зон, а также сведения о </w:t>
      </w:r>
      <w:r>
        <w:rPr>
          <w:rFonts w:ascii="Times New Roman" w:hAnsi="Times New Roman"/>
          <w:lang w:eastAsia="ru-RU"/>
        </w:rPr>
        <w:t>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tbl>
      <w:tblPr>
        <w:tblW w:w="155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2"/>
        <w:gridCol w:w="6278"/>
        <w:gridCol w:w="1381"/>
        <w:gridCol w:w="1113"/>
        <w:gridCol w:w="964"/>
        <w:gridCol w:w="1657"/>
        <w:gridCol w:w="1396"/>
        <w:gridCol w:w="1456"/>
      </w:tblGrid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функциональной зоны</w:t>
            </w:r>
          </w:p>
        </w:tc>
        <w:tc>
          <w:tcPr>
            <w:tcW w:w="6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функциональной зоны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Параметры функциональной зоны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</w:t>
            </w:r>
            <w:r>
              <w:rPr>
                <w:b/>
                <w:sz w:val="22"/>
                <w:szCs w:val="22"/>
              </w:rPr>
              <w:t>ное описание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планируемых для размещения объектах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 объекта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6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Макс. процент застройки, 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Макс. этажность застройки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зоны, га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7C235B">
            <w:pPr>
              <w:rPr>
                <w:rFonts w:hint="eastAsia"/>
              </w:rPr>
            </w:pP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Формирование и развитие зоны индивидуальной жилой </w:t>
            </w:r>
            <w:r>
              <w:rPr>
                <w:bCs/>
                <w:sz w:val="22"/>
                <w:szCs w:val="22"/>
              </w:rPr>
              <w:t>застройки с приусадебными участками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1. Преимущественно жилого использования территорий;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Возможности сочетания блокированных жилых дом</w:t>
            </w:r>
            <w:r>
              <w:rPr>
                <w:bCs/>
                <w:sz w:val="22"/>
                <w:szCs w:val="22"/>
              </w:rPr>
              <w:t>ов и индивидуальных жилых домов не выше трех этажей;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Возможности ведения подсобного хозяйства на территории приусадебного участка;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4. Возможности размещения вдоль основных улиц отдельных объектов общественно-делового и культурно-бытового обслуживания, о</w:t>
            </w:r>
            <w:r>
              <w:rPr>
                <w:bCs/>
                <w:sz w:val="22"/>
                <w:szCs w:val="22"/>
              </w:rPr>
              <w:t>риентированных на удовлетворение повседневных потребностей населения;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5. Возможности размещения детских садов как типового, так и семейного типа при соблюдении требований санитарных норм и правил;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 Возможности размещения клубов и внешкольных учреждений </w:t>
            </w:r>
            <w:r>
              <w:rPr>
                <w:bCs/>
                <w:sz w:val="22"/>
                <w:szCs w:val="22"/>
              </w:rPr>
              <w:t>при соблюдении требований санитарных норм и правил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п.Кумора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Общественно-деловые зоны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1. Многофункционального использования территории с размещением объектов общественно-делового, социального и культурно-бытового назначения;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2. Развития общественно-деловых и культурно-бытовых центров вдоль главных улиц с возможностью осуществлять широкий </w:t>
            </w:r>
            <w:r>
              <w:rPr>
                <w:bCs/>
                <w:sz w:val="22"/>
                <w:szCs w:val="22"/>
              </w:rPr>
              <w:lastRenderedPageBreak/>
              <w:t>с</w:t>
            </w:r>
            <w:r>
              <w:rPr>
                <w:bCs/>
                <w:sz w:val="22"/>
                <w:szCs w:val="22"/>
              </w:rPr>
              <w:t>пектр коммерческих и обслуживающих функций, ориентированных на удовлетворение повседневных и периодических потребностей населения, размещения объектов районного, регионального и федерального значения;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3. Реконструкции и нового строительства зданий на </w:t>
            </w:r>
            <w:r>
              <w:rPr>
                <w:bCs/>
                <w:sz w:val="22"/>
                <w:szCs w:val="22"/>
              </w:rPr>
              <w:t>застроенных территориях с соблюдением минимальных размеров придомовых территорий, устанавливаемых в соответствии с нормами и требованиями технических регламентов безопасности;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4. Размещение объектов образовательных учреждений при соблюдении требований сани</w:t>
            </w:r>
            <w:r>
              <w:rPr>
                <w:bCs/>
                <w:sz w:val="22"/>
                <w:szCs w:val="22"/>
              </w:rPr>
              <w:t>тарных норм и правил.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6. Размещение объектов здравоохранения при соблюдении требований санитарных норм и правил;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 Возможности размещения бассейнов, физкультурно-оздоровительных комплексов при соблюдении требований санитарных норм и правил.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п.Ку</w:t>
            </w:r>
            <w:r>
              <w:rPr>
                <w:sz w:val="22"/>
                <w:szCs w:val="22"/>
              </w:rPr>
              <w:t>мора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</w:pPr>
            <w:r>
              <w:rPr>
                <w:rStyle w:val="ab"/>
                <w:sz w:val="22"/>
                <w:szCs w:val="22"/>
              </w:rPr>
              <w:t>Спортивная площадка 20 мест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 рекреационного назначения</w:t>
            </w:r>
          </w:p>
        </w:tc>
        <w:tc>
          <w:tcPr>
            <w:tcW w:w="6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1. Деятельности, связанные </w:t>
            </w:r>
            <w:r>
              <w:rPr>
                <w:bCs/>
                <w:sz w:val="22"/>
                <w:szCs w:val="22"/>
              </w:rPr>
              <w:t>с объектами отдыха и туризма;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Размещение оздоровительно-спортивных лагерей, детских оздоровительных лагерей.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5,74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п.Кумора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5"/>
              <w:ind w:left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Туристический комплекс 30 мест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6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5"/>
              <w:ind w:left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Гостевой дом 20 мест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зоны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Формирование и развитие </w:t>
            </w:r>
            <w:r>
              <w:rPr>
                <w:bCs/>
                <w:sz w:val="22"/>
                <w:szCs w:val="22"/>
              </w:rPr>
              <w:t>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1. Сохранения и использования существующего природного ландшафта и создания благоустроенных зон отдыха общего пользования в </w:t>
            </w:r>
            <w:r>
              <w:rPr>
                <w:bCs/>
                <w:sz w:val="22"/>
                <w:szCs w:val="22"/>
              </w:rPr>
              <w:t>целях проведения досуга населением;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Формирования средовой защитной природно-экологической системы с учетом особенностей территории;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Сохранения, воспроизводства лесных массивов и осуществления иных видов деятельности, не противоречащих назначению данн</w:t>
            </w:r>
            <w:r>
              <w:rPr>
                <w:bCs/>
                <w:sz w:val="22"/>
                <w:szCs w:val="22"/>
              </w:rPr>
              <w:t>ой функциональной зоны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п.Кумора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лесов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Формирование и развитие данной зоны определяется в соответствии с Лесным Кодексом РФ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8319,04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Иные зоны сельскохозяйственного </w:t>
            </w:r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F12184" w:rsidRDefault="007C235B">
            <w:pPr>
              <w:pStyle w:val="a6"/>
              <w:spacing w:before="0"/>
              <w:ind w:firstLine="0"/>
              <w:jc w:val="left"/>
            </w:pPr>
            <w:r>
              <w:rPr>
                <w:sz w:val="22"/>
                <w:szCs w:val="22"/>
              </w:rPr>
              <w:t>1. Ведения личного подсобного хозяйства, ведения крестьянского фермерского хозяйства;</w:t>
            </w:r>
          </w:p>
          <w:p w:rsidR="00F12184" w:rsidRDefault="007C235B">
            <w:pPr>
              <w:pStyle w:val="a6"/>
              <w:spacing w:before="0"/>
              <w:ind w:firstLine="0"/>
              <w:jc w:val="left"/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Создания защитных лесных насаждений</w:t>
            </w:r>
          </w:p>
          <w:p w:rsidR="00F12184" w:rsidRDefault="007C235B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Научно-исследовательских, учебных и иных, связанных с сельскохозяйственным производством, целей.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устанавливается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п.Кумора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сельскохозяйственных угодий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Формирование и развитие данной зоны должно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F12184" w:rsidRDefault="007C235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 Деятельности, связанной с выращиванием сельхозпродукции открытым способом;</w:t>
            </w:r>
          </w:p>
          <w:p w:rsidR="00F12184" w:rsidRDefault="007C235B">
            <w:pPr>
              <w:pStyle w:val="Standard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 Сохранения сельскохозяйственных угодий, предотвращения их заня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тия другими видами деятельности.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устанавливается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13498,99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зона сельскохозяйственных предприятий</w:t>
            </w:r>
          </w:p>
        </w:tc>
        <w:tc>
          <w:tcPr>
            <w:tcW w:w="6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Формирование и развитие данной зоны должно направляться следующими целевыми установками – созданием </w:t>
            </w:r>
            <w:r>
              <w:rPr>
                <w:bCs/>
                <w:sz w:val="22"/>
                <w:szCs w:val="22"/>
              </w:rPr>
              <w:t>правовых, административных и экономических условий для</w:t>
            </w:r>
            <w:r>
              <w:rPr>
                <w:sz w:val="22"/>
                <w:szCs w:val="22"/>
              </w:rPr>
              <w:t xml:space="preserve"> размещения объектов производственного назначения, связанных с выращиванием, хранением, первичной переработкой и транспортировкой продукции сельского хозяйства, а также сопутствующей инфраструктуры.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п.Кумора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6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транспортной инфраструктуры</w:t>
            </w:r>
          </w:p>
        </w:tc>
        <w:tc>
          <w:tcPr>
            <w:tcW w:w="6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данных зон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1. </w:t>
            </w:r>
            <w:r>
              <w:rPr>
                <w:bCs/>
                <w:sz w:val="22"/>
                <w:szCs w:val="22"/>
              </w:rPr>
              <w:t>Размещения объектов, имеющих санитарно-защитные зоны до 50 метров – объектов, деятельность которых не связана с высоким уровнем шума, загрязнения, интенсивным движением большегрузного транспорта;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Возможности размещения инженерных объектов, технических и</w:t>
            </w:r>
            <w:r>
              <w:rPr>
                <w:bCs/>
                <w:sz w:val="22"/>
                <w:szCs w:val="22"/>
              </w:rPr>
              <w:t xml:space="preserve"> транспортных сооружений;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Возможности размещения объектов коммерческих услуг, способствующих осуществлению производственной деятельности;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Сочетания различных видов объектов только при условии соблюдения требований технических регламентов и санитарных</w:t>
            </w:r>
            <w:r>
              <w:rPr>
                <w:bCs/>
                <w:sz w:val="22"/>
                <w:szCs w:val="22"/>
              </w:rPr>
              <w:t xml:space="preserve"> требований.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П.Кумора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6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Автозаправочная станция на 2 поста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6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технического обслуживания на 2 поста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lastRenderedPageBreak/>
              <w:t>Зона инженерной инфраструктуры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Формирование и развитие данной зоны должно </w:t>
            </w:r>
            <w:r>
              <w:rPr>
                <w:bCs/>
                <w:sz w:val="22"/>
                <w:szCs w:val="22"/>
              </w:rPr>
              <w:t>направляться следующими целевыми установками – созданием правовых, административных и экономических условий для размещения инженерных объектов, технических и транспортных сооружений (источники водоснабжения, очистные сооружения, электростанции, дорожно-тра</w:t>
            </w:r>
            <w:r>
              <w:rPr>
                <w:bCs/>
                <w:sz w:val="22"/>
                <w:szCs w:val="22"/>
              </w:rPr>
              <w:t>нспортные сооружения, иные сооружения).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п.Кумора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зона</w:t>
            </w:r>
          </w:p>
        </w:tc>
        <w:tc>
          <w:tcPr>
            <w:tcW w:w="6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1. </w:t>
            </w:r>
            <w:r>
              <w:rPr>
                <w:bCs/>
                <w:sz w:val="22"/>
                <w:szCs w:val="22"/>
              </w:rPr>
              <w:t xml:space="preserve">Преимущественного размещения объектов </w:t>
            </w:r>
            <w:r>
              <w:rPr>
                <w:bCs/>
                <w:sz w:val="22"/>
                <w:szCs w:val="22"/>
                <w:lang w:val="en-US"/>
              </w:rPr>
              <w:t>V</w:t>
            </w:r>
            <w:r>
              <w:rPr>
                <w:bCs/>
                <w:sz w:val="22"/>
                <w:szCs w:val="22"/>
              </w:rPr>
              <w:t xml:space="preserve"> и </w:t>
            </w:r>
            <w:r>
              <w:rPr>
                <w:bCs/>
                <w:sz w:val="22"/>
                <w:szCs w:val="22"/>
                <w:lang w:val="en-US"/>
              </w:rPr>
              <w:t>IV</w:t>
            </w:r>
            <w:r>
              <w:rPr>
                <w:bCs/>
                <w:sz w:val="22"/>
                <w:szCs w:val="22"/>
              </w:rPr>
              <w:t xml:space="preserve"> классов вредности, имеющих санитарно-защитные зоны от 50 до 100 метров, – объектов, деятельность в которых связана с высоким уровнем шума, загрязнения, интенсивным движением большегрузного транспорта;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2. Возможн</w:t>
            </w:r>
            <w:r>
              <w:rPr>
                <w:bCs/>
                <w:sz w:val="22"/>
                <w:szCs w:val="22"/>
              </w:rPr>
              <w:t>ости размещения инженерных объектов, технических и транспортных сооружений (источники водоснабжения, очистные сооружения, электростанции, дорожно-транспортные сооружения, иные сооружения);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>3. Возможности размещения объектов коммерческих услуг, способствующ</w:t>
            </w:r>
            <w:r>
              <w:rPr>
                <w:bCs/>
                <w:sz w:val="22"/>
                <w:szCs w:val="22"/>
              </w:rPr>
              <w:t>их осуществлению производственной деятельности;</w:t>
            </w:r>
          </w:p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Сочетания различных видов объектов только при условии соблюдения требований технических регламентов – санитарных требований.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п.Кумора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49"/>
          <w:jc w:val="center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6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000000" w:rsidRDefault="007C235B">
            <w:pPr>
              <w:rPr>
                <w:rFonts w:hint="eastAsi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Научно-производственная зона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 размещения объектов, связанных с научно-производственной деятельностью.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кладбищ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left"/>
            </w:pPr>
            <w:r>
              <w:rPr>
                <w:bCs/>
                <w:sz w:val="22"/>
                <w:szCs w:val="22"/>
              </w:rPr>
              <w:t xml:space="preserve">Формирование и развитие данной зоны должно направляться следующими целевыми установками – созданием правовых, административных и экономических условий для размещения </w:t>
            </w:r>
            <w:r>
              <w:rPr>
                <w:sz w:val="22"/>
                <w:szCs w:val="22"/>
              </w:rPr>
              <w:t xml:space="preserve">объектов захоронения (кладбищ, </w:t>
            </w:r>
            <w:r>
              <w:rPr>
                <w:sz w:val="22"/>
                <w:szCs w:val="22"/>
              </w:rPr>
              <w:t>крематориев, колумбариев), культовых объектов при них, а также сопутствующей инфраструктуры</w:t>
            </w:r>
            <w:r>
              <w:rPr>
                <w:bCs/>
                <w:sz w:val="22"/>
                <w:szCs w:val="22"/>
              </w:rPr>
              <w:t>, их сохранения и предотвращения занятия данного вида функциональных зон другими видами деятельности.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18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lastRenderedPageBreak/>
              <w:t>Зона</w:t>
            </w:r>
            <w:r>
              <w:rPr>
                <w:sz w:val="22"/>
                <w:szCs w:val="22"/>
              </w:rPr>
              <w:t xml:space="preserve"> складирования и захоронения отходов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Формирование и развитие данных зон должно направляться следующими целевыми установками – созданием правовых, административных и экономических условий для:</w:t>
            </w:r>
          </w:p>
          <w:p w:rsidR="00F12184" w:rsidRDefault="007C235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 Размещения и содержания объектов, связанных с хранением и ути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лизацией ТКО, отходов сельскохозяйственного производства (скотомогильники);</w:t>
            </w:r>
          </w:p>
          <w:p w:rsidR="00F12184" w:rsidRDefault="007C235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 Обеспечения рационального использования и содержания в целях сохранения здоровья населения и благополучия экологической среды.</w:t>
            </w:r>
          </w:p>
          <w:p w:rsidR="00F12184" w:rsidRDefault="007C235B">
            <w:pPr>
              <w:pStyle w:val="Standard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При реализации указанных целевых установок надлежи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т учитывать соблюдение требований технических регламентов и санитарных требований.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устанавливается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t>МО СП «</w:t>
            </w:r>
            <w:proofErr w:type="spellStart"/>
            <w:r>
              <w:rPr>
                <w:sz w:val="22"/>
                <w:szCs w:val="22"/>
              </w:rPr>
              <w:t>Куморское</w:t>
            </w:r>
            <w:proofErr w:type="spellEnd"/>
            <w:r>
              <w:rPr>
                <w:sz w:val="22"/>
                <w:szCs w:val="22"/>
              </w:rPr>
              <w:t xml:space="preserve"> эвенкийское»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 сбора ТКО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F12184" w:rsidRDefault="007C235B">
            <w:pPr>
              <w:pStyle w:val="a6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</w:p>
        </w:tc>
      </w:tr>
    </w:tbl>
    <w:p w:rsidR="00F12184" w:rsidRDefault="00F12184">
      <w:pPr>
        <w:pStyle w:val="a6"/>
        <w:spacing w:before="0" w:after="0"/>
        <w:sectPr w:rsidR="00F12184">
          <w:pgSz w:w="16838" w:h="11906" w:orient="landscape"/>
          <w:pgMar w:top="1134" w:right="1134" w:bottom="1134" w:left="1134" w:header="720" w:footer="720" w:gutter="0"/>
          <w:cols w:space="720"/>
        </w:sectPr>
      </w:pPr>
    </w:p>
    <w:p w:rsidR="00F12184" w:rsidRDefault="007C235B">
      <w:pPr>
        <w:pStyle w:val="1"/>
        <w:tabs>
          <w:tab w:val="left" w:pos="928"/>
        </w:tabs>
        <w:spacing w:before="0" w:after="0"/>
        <w:ind w:left="928"/>
        <w:rPr>
          <w:rFonts w:hint="eastAsia"/>
        </w:rPr>
      </w:pPr>
      <w:bookmarkStart w:id="19" w:name="_Toc19109975"/>
      <w:bookmarkStart w:id="20" w:name="_Toc460331247"/>
      <w:r>
        <w:rPr>
          <w:rFonts w:ascii="Times New Roman" w:hAnsi="Times New Roman"/>
          <w:lang w:eastAsia="ru-RU"/>
        </w:rPr>
        <w:lastRenderedPageBreak/>
        <w:t>Глава 4. ХАРАКТЕРИСТИКИ ЗОН С ОСОБЫМИ УСЛОВИЯМИ ИСПОЛЬЗОВАНИЯ ТЕРРИТОРИЙ</w:t>
      </w:r>
    </w:p>
    <w:p w:rsidR="00F12184" w:rsidRDefault="007C235B">
      <w:pPr>
        <w:pStyle w:val="Standard"/>
        <w:tabs>
          <w:tab w:val="left" w:pos="993"/>
        </w:tabs>
        <w:spacing w:before="120"/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 xml:space="preserve">На территории МО </w:t>
      </w:r>
      <w:r>
        <w:rPr>
          <w:rFonts w:ascii="Times New Roman" w:hAnsi="Times New Roman"/>
        </w:rPr>
        <w:t>СП «</w:t>
      </w:r>
      <w:proofErr w:type="spellStart"/>
      <w:r>
        <w:rPr>
          <w:rFonts w:ascii="Times New Roman" w:hAnsi="Times New Roman"/>
        </w:rPr>
        <w:t>Куморское</w:t>
      </w:r>
      <w:proofErr w:type="spellEnd"/>
      <w:r>
        <w:rPr>
          <w:rFonts w:ascii="Times New Roman" w:hAnsi="Times New Roman"/>
        </w:rPr>
        <w:t xml:space="preserve"> эвенкийское» Северо-Байкальского района Республики Бурятия в связи с планируемым размещением объектов местного значения, оказывающих влияние на окружающую среду, требуется установление следующих зон с особыми условиями использования территори</w:t>
      </w:r>
      <w:r>
        <w:rPr>
          <w:rFonts w:ascii="Times New Roman" w:hAnsi="Times New Roman"/>
        </w:rPr>
        <w:t>й:</w:t>
      </w:r>
    </w:p>
    <w:p w:rsidR="00F12184" w:rsidRDefault="007C235B">
      <w:pPr>
        <w:pStyle w:val="Standard"/>
        <w:tabs>
          <w:tab w:val="left" w:pos="993"/>
        </w:tabs>
        <w:ind w:right="-1" w:firstLine="709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Охранные зоны объектов водоснабжения:</w:t>
      </w:r>
    </w:p>
    <w:p w:rsidR="00F12184" w:rsidRDefault="007C235B">
      <w:pPr>
        <w:pStyle w:val="Standard"/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hint="eastAsia"/>
        </w:rPr>
      </w:pPr>
      <w:r>
        <w:rPr>
          <w:rFonts w:ascii="Times New Roman" w:hAnsi="Times New Roman"/>
        </w:rPr>
        <w:t xml:space="preserve">Водопроводные сети </w:t>
      </w:r>
      <w:r>
        <w:rPr>
          <w:rFonts w:ascii="Times New Roman" w:hAnsi="Times New Roman"/>
          <w:bCs/>
        </w:rPr>
        <w:t>– не менее 2 м.</w:t>
      </w:r>
    </w:p>
    <w:p w:rsidR="00F12184" w:rsidRDefault="007C235B">
      <w:pPr>
        <w:pStyle w:val="Standard"/>
        <w:tabs>
          <w:tab w:val="left" w:pos="993"/>
        </w:tabs>
        <w:ind w:right="-1" w:firstLine="709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Первый пояс зоны санитарной охраны источников водоснабжения:</w:t>
      </w:r>
    </w:p>
    <w:p w:rsidR="00F12184" w:rsidRDefault="007C235B">
      <w:pPr>
        <w:pStyle w:val="Standard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hint="eastAsia"/>
        </w:rPr>
      </w:pPr>
      <w:r>
        <w:rPr>
          <w:rFonts w:ascii="Times New Roman" w:hAnsi="Times New Roman"/>
        </w:rPr>
        <w:t>Артезианская скважина – 30-50 м.</w:t>
      </w:r>
    </w:p>
    <w:p w:rsidR="00F12184" w:rsidRDefault="007C235B">
      <w:pPr>
        <w:pStyle w:val="Standard"/>
        <w:tabs>
          <w:tab w:val="left" w:pos="993"/>
        </w:tabs>
        <w:ind w:right="-1" w:firstLine="709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>Санитарно-защитные зоны:</w:t>
      </w:r>
    </w:p>
    <w:p w:rsidR="00F12184" w:rsidRDefault="007C235B">
      <w:pPr>
        <w:pStyle w:val="Standard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hint="eastAsia"/>
        </w:rPr>
      </w:pPr>
      <w:r>
        <w:rPr>
          <w:rFonts w:ascii="Times New Roman" w:hAnsi="Times New Roman"/>
        </w:rPr>
        <w:t>Автозаправочная станция – по проекту;</w:t>
      </w:r>
    </w:p>
    <w:p w:rsidR="00F12184" w:rsidRDefault="007C235B">
      <w:pPr>
        <w:pStyle w:val="Standard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hint="eastAsia"/>
        </w:rPr>
      </w:pPr>
      <w:r>
        <w:rPr>
          <w:rFonts w:ascii="Times New Roman" w:hAnsi="Times New Roman"/>
        </w:rPr>
        <w:t>Станция технического об</w:t>
      </w:r>
      <w:r>
        <w:rPr>
          <w:rFonts w:ascii="Times New Roman" w:hAnsi="Times New Roman"/>
        </w:rPr>
        <w:t>служивания – по проекту;</w:t>
      </w:r>
    </w:p>
    <w:p w:rsidR="00F12184" w:rsidRDefault="007C235B">
      <w:pPr>
        <w:pStyle w:val="Standard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hint="eastAsia"/>
        </w:rPr>
      </w:pPr>
      <w:r>
        <w:rPr>
          <w:rFonts w:ascii="Times New Roman" w:hAnsi="Times New Roman"/>
        </w:rPr>
        <w:t>Площадка сбора ТКО – по проекту.</w:t>
      </w:r>
    </w:p>
    <w:p w:rsidR="00F12184" w:rsidRDefault="00F12184">
      <w:pPr>
        <w:pStyle w:val="Standard"/>
        <w:rPr>
          <w:rFonts w:ascii="Times New Roman" w:hAnsi="Times New Roman"/>
        </w:rPr>
      </w:pPr>
      <w:bookmarkStart w:id="21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F121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35B" w:rsidRDefault="007C235B">
      <w:pPr>
        <w:rPr>
          <w:rFonts w:hint="eastAsia"/>
        </w:rPr>
      </w:pPr>
      <w:r>
        <w:separator/>
      </w:r>
    </w:p>
  </w:endnote>
  <w:endnote w:type="continuationSeparator" w:id="0">
    <w:p w:rsidR="007C235B" w:rsidRDefault="007C23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35B" w:rsidRDefault="007C235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C235B" w:rsidRDefault="007C23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16A48"/>
    <w:multiLevelType w:val="multilevel"/>
    <w:tmpl w:val="1A967268"/>
    <w:styleLink w:val="WWNum2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4B0A7CBF"/>
    <w:multiLevelType w:val="multilevel"/>
    <w:tmpl w:val="234A12F6"/>
    <w:styleLink w:val="WWNum1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 CYR" w:eastAsia="Times New Roman CYR" w:hAnsi="Times New Roman CYR" w:cs="Times New Roman CYR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F10A35"/>
    <w:multiLevelType w:val="multilevel"/>
    <w:tmpl w:val="936C047C"/>
    <w:styleLink w:val="WWNum1a"/>
    <w:lvl w:ilvl="0">
      <w:numFmt w:val="bullet"/>
      <w:lvlText w:val="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2184"/>
    <w:rsid w:val="007C235B"/>
    <w:rsid w:val="00AF3DDA"/>
    <w:rsid w:val="00F1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8857"/>
  <w15:docId w15:val="{E124135E-6BC1-4876-883A-E27E9A6C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NormalTableWW">
    <w:name w:val="Normal Table (WW)"/>
    <w:pPr>
      <w:textAlignment w:val="auto"/>
    </w:pPr>
    <w:rPr>
      <w:rFonts w:ascii="Times New Roman" w:eastAsia="Symbol" w:hAnsi="Times New Roman" w:cs="Times New Roman"/>
      <w:sz w:val="20"/>
      <w:szCs w:val="20"/>
      <w:lang w:eastAsia="ru-RU" w:bidi="ar-SA"/>
    </w:rPr>
  </w:style>
  <w:style w:type="paragraph" w:customStyle="1" w:styleId="a6">
    <w:name w:val="Абзац"/>
    <w:pPr>
      <w:spacing w:before="120" w:after="60"/>
      <w:ind w:firstLine="567"/>
      <w:jc w:val="both"/>
      <w:textAlignment w:val="auto"/>
    </w:pPr>
    <w:rPr>
      <w:rFonts w:ascii="Times New Roman" w:eastAsia="Symbol" w:hAnsi="Times New Roman" w:cs="Times New Roman"/>
      <w:lang w:eastAsia="ru-RU" w:bidi="ar-SA"/>
    </w:rPr>
  </w:style>
  <w:style w:type="paragraph" w:customStyle="1" w:styleId="01">
    <w:name w:val="Заголовок 01"/>
    <w:pPr>
      <w:keepNext/>
      <w:spacing w:before="240" w:after="120"/>
      <w:ind w:left="567"/>
      <w:jc w:val="center"/>
      <w:textAlignment w:val="auto"/>
    </w:pPr>
    <w:rPr>
      <w:rFonts w:ascii="Times New Roman" w:eastAsia="Symbol" w:hAnsi="Times New Roman" w:cs="Times New Roman"/>
      <w:b/>
      <w:bCs/>
      <w:caps/>
      <w:sz w:val="28"/>
      <w:szCs w:val="28"/>
      <w:lang w:eastAsia="ru-RU" w:bidi="ar-SA"/>
    </w:rPr>
  </w:style>
  <w:style w:type="paragraph" w:customStyle="1" w:styleId="11">
    <w:name w:val="Табличный_таблица_11"/>
    <w:pPr>
      <w:jc w:val="center"/>
      <w:textAlignment w:val="auto"/>
    </w:pPr>
    <w:rPr>
      <w:rFonts w:ascii="Times New Roman" w:eastAsia="Symbol" w:hAnsi="Times New Roman" w:cs="Times New Roman"/>
      <w:sz w:val="20"/>
      <w:szCs w:val="20"/>
      <w:lang w:eastAsia="ru-RU" w:bidi="ar-SA"/>
    </w:rPr>
  </w:style>
  <w:style w:type="paragraph" w:customStyle="1" w:styleId="S">
    <w:name w:val="S_Титульный"/>
    <w:basedOn w:val="Standard"/>
    <w:pPr>
      <w:spacing w:line="360" w:lineRule="auto"/>
      <w:ind w:left="3060"/>
      <w:jc w:val="right"/>
      <w:textAlignment w:val="auto"/>
    </w:pPr>
    <w:rPr>
      <w:rFonts w:cs="Times New Roman"/>
      <w:b/>
      <w:caps/>
      <w:lang w:eastAsia="ru-RU" w:bidi="ar-SA"/>
    </w:rPr>
  </w:style>
  <w:style w:type="paragraph" w:customStyle="1" w:styleId="a7">
    <w:name w:val="Другое"/>
    <w:basedOn w:val="Standard"/>
    <w:pPr>
      <w:widowControl w:val="0"/>
      <w:shd w:val="clear" w:color="auto" w:fill="FFFFFF"/>
      <w:jc w:val="center"/>
      <w:textAlignment w:val="auto"/>
    </w:pPr>
    <w:rPr>
      <w:rFonts w:cs="Times New Roman"/>
      <w:sz w:val="20"/>
      <w:szCs w:val="20"/>
      <w:lang w:eastAsia="ru-RU" w:bidi="ar-SA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1">
    <w:name w:val="ListLabel 1"/>
    <w:rPr>
      <w:rFonts w:ascii="Times New Roman CYR" w:eastAsia="Times New Roman CYR" w:hAnsi="Times New Roman CYR" w:cs="Times New Roman CYR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DefaultParagraphFontWW">
    <w:name w:val="Default Paragraph Font (WW)"/>
  </w:style>
  <w:style w:type="character" w:customStyle="1" w:styleId="10">
    <w:name w:val="Заголовок 1 Знак"/>
    <w:basedOn w:val="DefaultParagraphFontWW"/>
    <w:rPr>
      <w:b/>
      <w:bCs/>
      <w:caps/>
      <w:kern w:val="3"/>
    </w:rPr>
  </w:style>
  <w:style w:type="character" w:customStyle="1" w:styleId="a8">
    <w:name w:val="Абзац Знак"/>
    <w:rPr>
      <w:sz w:val="24"/>
    </w:rPr>
  </w:style>
  <w:style w:type="character" w:customStyle="1" w:styleId="a9">
    <w:name w:val="Верхний колонтитул Знак"/>
    <w:basedOn w:val="DefaultParagraphFontWW"/>
    <w:rPr>
      <w:color w:val="808080"/>
      <w:sz w:val="24"/>
      <w:szCs w:val="24"/>
    </w:rPr>
  </w:style>
  <w:style w:type="character" w:customStyle="1" w:styleId="aa">
    <w:name w:val="Текст_Жирный"/>
    <w:rPr>
      <w:rFonts w:ascii="Times New Roman" w:eastAsia="Times New Roman" w:hAnsi="Times New Roman" w:cs="Times New Roman"/>
      <w:b/>
    </w:rPr>
  </w:style>
  <w:style w:type="character" w:customStyle="1" w:styleId="010">
    <w:name w:val="Заголовок 01 Знак"/>
    <w:rPr>
      <w:b/>
      <w:caps/>
      <w:kern w:val="3"/>
      <w:sz w:val="28"/>
    </w:rPr>
  </w:style>
  <w:style w:type="character" w:customStyle="1" w:styleId="110">
    <w:name w:val="Табличный_таблица_11 Знак"/>
  </w:style>
  <w:style w:type="character" w:customStyle="1" w:styleId="ab">
    <w:name w:val="Текст_Обычный"/>
  </w:style>
  <w:style w:type="character" w:customStyle="1" w:styleId="ac">
    <w:name w:val="Абзац списка Знак"/>
    <w:rPr>
      <w:sz w:val="24"/>
      <w:lang w:val="ru-RU" w:eastAsia="ru-RU"/>
    </w:rPr>
  </w:style>
  <w:style w:type="character" w:customStyle="1" w:styleId="ad">
    <w:name w:val="Другое_"/>
    <w:rPr>
      <w:shd w:val="clear" w:color="auto" w:fill="FFFFFF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bmeridian</dc:creator>
  <cp:lastModifiedBy>vera.serykh@inbox.ru</cp:lastModifiedBy>
  <cp:revision>2</cp:revision>
  <cp:lastPrinted>2026-02-13T10:38:00Z</cp:lastPrinted>
  <dcterms:created xsi:type="dcterms:W3CDTF">2026-03-03T03:00:00Z</dcterms:created>
  <dcterms:modified xsi:type="dcterms:W3CDTF">2026-03-03T03:00:00Z</dcterms:modified>
</cp:coreProperties>
</file>